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8" w:rsidRPr="00154979" w:rsidRDefault="00444878" w:rsidP="00444878">
      <w:pPr>
        <w:widowControl/>
        <w:spacing w:line="320" w:lineRule="exact"/>
        <w:jc w:val="center"/>
        <w:rPr>
          <w:rFonts w:ascii="黑体" w:eastAsia="黑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7A3D6E">
        <w:rPr>
          <w:rFonts w:ascii="黑体" w:eastAsia="黑体" w:hAnsi="宋体" w:cs="宋体" w:hint="eastAsia"/>
          <w:b/>
          <w:color w:val="000000"/>
          <w:kern w:val="0"/>
          <w:sz w:val="28"/>
          <w:szCs w:val="28"/>
        </w:rPr>
        <w:t>食品科技学院推荐免试研究生综合考核计分细则</w:t>
      </w:r>
    </w:p>
    <w:tbl>
      <w:tblPr>
        <w:tblpPr w:leftFromText="180" w:rightFromText="180" w:vertAnchor="page" w:horzAnchor="margin" w:tblpY="10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052"/>
        <w:gridCol w:w="3632"/>
        <w:gridCol w:w="2563"/>
        <w:gridCol w:w="1653"/>
      </w:tblGrid>
      <w:tr w:rsidR="00444878" w:rsidRPr="00154979" w:rsidTr="006E19E9">
        <w:trPr>
          <w:trHeight w:val="271"/>
        </w:trPr>
        <w:tc>
          <w:tcPr>
            <w:tcW w:w="601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分类总分</w:t>
            </w: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1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44878" w:rsidRPr="00154979" w:rsidTr="006E19E9">
        <w:trPr>
          <w:trHeight w:val="287"/>
        </w:trPr>
        <w:tc>
          <w:tcPr>
            <w:tcW w:w="601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省三好学生或优秀干部称号及以上奖励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累计满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分止</w:t>
            </w:r>
          </w:p>
        </w:tc>
      </w:tr>
      <w:tr w:rsidR="00444878" w:rsidRPr="00154979" w:rsidTr="006E19E9">
        <w:trPr>
          <w:trHeight w:val="28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市级及以上相关主管部门最高奖励或表彰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409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校级十佳学生、十佳学生干部、十佳社团干部、团员标兵、优秀志愿者、社会实践先进个人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36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校级优秀学生干部、优秀团员、优秀团干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41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院级优秀学生干部、优秀团员、优秀团干、先进党建工作者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285"/>
        </w:trPr>
        <w:tc>
          <w:tcPr>
            <w:tcW w:w="601" w:type="pct"/>
            <w:vMerge w:val="restar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国家奖学金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 w:val="restar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累计满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分止</w:t>
            </w:r>
          </w:p>
        </w:tc>
      </w:tr>
      <w:tr w:rsidR="00444878" w:rsidRPr="00154979" w:rsidTr="006E19E9">
        <w:trPr>
          <w:trHeight w:val="13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三好生一等或校级名人企业奖学金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3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三好生二等、院级企业奖学金、单项奖学金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556"/>
        </w:trPr>
        <w:tc>
          <w:tcPr>
            <w:tcW w:w="601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文艺、体育方面省级二等奖（或第二名）及以上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累计满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分止</w:t>
            </w:r>
          </w:p>
        </w:tc>
      </w:tr>
      <w:tr w:rsidR="00444878" w:rsidRPr="00154979" w:rsidTr="006E19E9">
        <w:trPr>
          <w:trHeight w:val="347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5" w:type="pct"/>
            <w:gridSpan w:val="2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文艺、体育方面的校级一等奖（或第一名）及以上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444"/>
        </w:trPr>
        <w:tc>
          <w:tcPr>
            <w:tcW w:w="601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50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520" w:type="pct"/>
            <w:vMerge w:val="restar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大学生科技创新计划</w:t>
            </w: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国家大学生创新项目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主持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参与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/5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、累计满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50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分止；</w:t>
            </w:r>
          </w:p>
          <w:p w:rsidR="00444878" w:rsidRPr="00154979" w:rsidRDefault="00444878" w:rsidP="006E19E9">
            <w:pPr>
              <w:widowControl/>
              <w:spacing w:line="320" w:lineRule="exact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大学生科技创新计划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延期考核不合格不得分。同一项目仅以最高分值计一次。校团委创新项目与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SRT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项目仅计一项；</w:t>
            </w:r>
          </w:p>
          <w:p w:rsidR="00444878" w:rsidRPr="00154979" w:rsidRDefault="00444878" w:rsidP="006E19E9">
            <w:pPr>
              <w:widowControl/>
              <w:spacing w:line="320" w:lineRule="exac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、发表论文</w:t>
            </w:r>
            <w:r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需为本专业论文，具体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由学院领导小组审查认定，论文须提交封面、目录、全文复印件，如果已接收，须提供文章稿件，录用通知和汇款凭证，增刊除外，时间截止到当年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12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日。</w:t>
            </w:r>
          </w:p>
          <w:p w:rsidR="00444878" w:rsidRPr="00154979" w:rsidRDefault="00444878" w:rsidP="006E19E9">
            <w:pPr>
              <w:widowControl/>
              <w:spacing w:line="320" w:lineRule="exact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、课外科技活动级别以证书颁发单位为准；</w:t>
            </w:r>
          </w:p>
        </w:tc>
      </w:tr>
      <w:tr w:rsidR="00444878" w:rsidRPr="00154979" w:rsidTr="006E19E9">
        <w:trPr>
          <w:trHeight w:val="443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省大学生创新项目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主持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参与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6/3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443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校团委科技创新项目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主持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参与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4/2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443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 xml:space="preserve"> SRT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项目（主持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参与）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4/2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51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国家</w:t>
            </w:r>
          </w:p>
          <w:p w:rsidR="00444878" w:rsidRPr="00154979" w:rsidRDefault="00444878" w:rsidP="006E19E9">
            <w:pPr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经鉴定已受理（发明人排名一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10/6/4</w:t>
              </w:r>
            </w:smartTag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51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授权（发明人排名一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30/20/10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3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444878" w:rsidRDefault="00444878" w:rsidP="006E19E9">
            <w:pPr>
              <w:widowControl/>
              <w:spacing w:line="320" w:lineRule="exact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发表</w:t>
            </w:r>
          </w:p>
        </w:tc>
        <w:tc>
          <w:tcPr>
            <w:tcW w:w="1795" w:type="pct"/>
            <w:vAlign w:val="center"/>
          </w:tcPr>
          <w:p w:rsidR="00444878" w:rsidRPr="00C144BE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  <w:r w:rsidRPr="00C144BE">
              <w:rPr>
                <w:rFonts w:eastAsia="仿宋_GB2312" w:hAnsi="宋体" w:cs="宋体"/>
                <w:kern w:val="0"/>
                <w:sz w:val="18"/>
                <w:szCs w:val="18"/>
              </w:rPr>
              <w:t>SCI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、</w:t>
            </w:r>
            <w:r w:rsidRPr="00C144BE">
              <w:rPr>
                <w:rFonts w:eastAsia="仿宋_GB2312" w:hAnsi="宋体" w:cs="宋体"/>
                <w:kern w:val="0"/>
                <w:sz w:val="18"/>
                <w:szCs w:val="18"/>
              </w:rPr>
              <w:t>EI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收录论文（作者排名一</w:t>
            </w:r>
            <w:r w:rsidRPr="00C144BE">
              <w:rPr>
                <w:rFonts w:eastAsia="仿宋_GB2312" w:hAnsi="宋体" w:cs="宋体"/>
                <w:kern w:val="0"/>
                <w:sz w:val="18"/>
                <w:szCs w:val="18"/>
              </w:rPr>
              <w:t>/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二</w:t>
            </w:r>
            <w:r w:rsidRPr="00C144BE">
              <w:rPr>
                <w:rFonts w:eastAsia="仿宋_GB2312" w:hAnsi="宋体" w:cs="宋体"/>
                <w:kern w:val="0"/>
                <w:sz w:val="18"/>
                <w:szCs w:val="18"/>
              </w:rPr>
              <w:t>/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三</w:t>
            </w:r>
            <w:r w:rsidRPr="00C144BE">
              <w:rPr>
                <w:rFonts w:eastAsia="仿宋_GB2312" w:hAnsi="宋体" w:cs="宋体"/>
                <w:kern w:val="0"/>
                <w:sz w:val="18"/>
                <w:szCs w:val="18"/>
              </w:rPr>
              <w:t>/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四）</w:t>
            </w:r>
          </w:p>
        </w:tc>
        <w:tc>
          <w:tcPr>
            <w:tcW w:w="1267" w:type="pct"/>
            <w:vAlign w:val="center"/>
          </w:tcPr>
          <w:p w:rsidR="00444878" w:rsidRPr="00C144BE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kern w:val="0"/>
                <w:sz w:val="18"/>
                <w:szCs w:val="18"/>
              </w:rPr>
            </w:pPr>
            <w:r w:rsidRPr="00C144BE"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C144BE">
              <w:rPr>
                <w:rFonts w:ascii="宋体" w:eastAsia="仿宋_GB2312" w:hAnsi="宋体" w:cs="宋体"/>
                <w:kern w:val="0"/>
                <w:sz w:val="18"/>
                <w:szCs w:val="18"/>
              </w:rPr>
              <w:t>30/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144BE">
                <w:rPr>
                  <w:rFonts w:ascii="宋体" w:eastAsia="仿宋_GB2312" w:hAnsi="宋体" w:cs="宋体"/>
                  <w:kern w:val="0"/>
                  <w:sz w:val="18"/>
                  <w:szCs w:val="18"/>
                </w:rPr>
                <w:t>15/10/5</w:t>
              </w:r>
            </w:smartTag>
            <w:r w:rsidRPr="00C144BE"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  <w:t>）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分</w:t>
            </w:r>
            <w:r w:rsidRPr="00C144BE">
              <w:rPr>
                <w:rFonts w:ascii="宋体" w:eastAsia="仿宋_GB2312" w:hAnsi="宋体" w:cs="宋体"/>
                <w:kern w:val="0"/>
                <w:sz w:val="18"/>
                <w:szCs w:val="18"/>
              </w:rPr>
              <w:t>/</w:t>
            </w:r>
            <w:r w:rsidRPr="00C144BE">
              <w:rPr>
                <w:rFonts w:eastAsia="仿宋_GB2312" w:hAnsi="宋体" w:cs="宋体" w:hint="eastAsia"/>
                <w:kern w:val="0"/>
                <w:sz w:val="18"/>
                <w:szCs w:val="18"/>
              </w:rPr>
              <w:t>篇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18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校科技论文方阵核心一二类期刊论文（作者排名一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10/5/3</w:t>
              </w:r>
            </w:smartTag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篇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18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校科技论文方阵核心一二类期刊综述论文（作者排名一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6/3/1</w:t>
              </w:r>
            </w:smartTag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篇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3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课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外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科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技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竞</w:t>
            </w:r>
          </w:p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全国一等奖（主办：国家部委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20/8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3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全国二等奖（主办：国家部委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15/5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94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全国三等奖及以下（主办：国家部委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10/2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74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省级一等奖（主办：厅级单位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10/2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369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省级二等奖（主办：厅级单位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8/1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95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（需学院评审委员会认定）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8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校创业计划大赛或课外科技作品大赛（一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三等奖）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6/4/2</w:t>
              </w:r>
            </w:smartTag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180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南京高校论坛（特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三等奖）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8/6/4</w:t>
              </w:r>
            </w:smartTag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/2)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44878" w:rsidRPr="00154979" w:rsidTr="006E19E9">
        <w:trPr>
          <w:trHeight w:val="525"/>
        </w:trPr>
        <w:tc>
          <w:tcPr>
            <w:tcW w:w="601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5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明日工程师论坛（一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 w:rsidRPr="00154979">
              <w:rPr>
                <w:rFonts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eastAsia="仿宋_GB2312" w:hAnsi="宋体" w:cs="宋体" w:hint="eastAsia"/>
                <w:color w:val="000000"/>
                <w:kern w:val="0"/>
                <w:sz w:val="18"/>
                <w:szCs w:val="18"/>
              </w:rPr>
              <w:t>三等奖）</w:t>
            </w:r>
          </w:p>
        </w:tc>
        <w:tc>
          <w:tcPr>
            <w:tcW w:w="1267" w:type="pct"/>
            <w:vAlign w:val="center"/>
          </w:tcPr>
          <w:p w:rsidR="00444878" w:rsidRPr="00154979" w:rsidRDefault="00444878" w:rsidP="006E19E9">
            <w:pPr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154979">
                <w:rPr>
                  <w:rFonts w:ascii="宋体" w:eastAsia="仿宋_GB2312" w:hAnsi="宋体" w:cs="宋体"/>
                  <w:color w:val="000000"/>
                  <w:kern w:val="0"/>
                  <w:sz w:val="18"/>
                  <w:szCs w:val="18"/>
                </w:rPr>
                <w:t>3/2/1</w:t>
              </w:r>
            </w:smartTag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  <w:r w:rsidRPr="00154979"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154979"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17" w:type="pct"/>
            <w:vMerge/>
            <w:vAlign w:val="center"/>
          </w:tcPr>
          <w:p w:rsidR="00444878" w:rsidRPr="00154979" w:rsidRDefault="00444878" w:rsidP="006E19E9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44878" w:rsidRPr="00154979" w:rsidRDefault="00444878" w:rsidP="00444878">
      <w:pPr>
        <w:widowControl/>
        <w:spacing w:line="320" w:lineRule="exact"/>
        <w:rPr>
          <w:rFonts w:ascii="黑体" w:eastAsia="黑体" w:hAnsi="宋体" w:cs="宋体"/>
          <w:color w:val="000000"/>
          <w:kern w:val="0"/>
          <w:sz w:val="24"/>
        </w:rPr>
      </w:pPr>
    </w:p>
    <w:p w:rsidR="00444878" w:rsidRPr="00154979" w:rsidRDefault="00444878" w:rsidP="00444878">
      <w:pPr>
        <w:pStyle w:val="a4"/>
        <w:spacing w:before="0" w:beforeAutospacing="0" w:after="0" w:afterAutospacing="0" w:line="320" w:lineRule="exact"/>
        <w:jc w:val="both"/>
        <w:rPr>
          <w:rFonts w:ascii="仿宋_GB2312" w:eastAsia="仿宋_GB2312" w:hAnsi="??"/>
          <w:color w:val="000000"/>
          <w:sz w:val="21"/>
          <w:szCs w:val="21"/>
        </w:rPr>
      </w:pP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注：综合成绩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>= 0.8</w:t>
      </w:r>
      <w:r>
        <w:rPr>
          <w:rFonts w:ascii="仿宋_GB2312" w:eastAsia="仿宋_GB2312" w:hAnsi="??"/>
          <w:color w:val="000000"/>
          <w:sz w:val="21"/>
          <w:szCs w:val="21"/>
        </w:rPr>
        <w:t>5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×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>GPA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折算分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 xml:space="preserve"> + 0.</w:t>
      </w:r>
      <w:r>
        <w:rPr>
          <w:rFonts w:ascii="仿宋_GB2312" w:eastAsia="仿宋_GB2312" w:hAnsi="??"/>
          <w:color w:val="000000"/>
          <w:sz w:val="21"/>
          <w:szCs w:val="21"/>
        </w:rPr>
        <w:t>15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×综合素质得分</w:t>
      </w:r>
    </w:p>
    <w:p w:rsidR="00444878" w:rsidRDefault="00444878" w:rsidP="00444878">
      <w:pPr>
        <w:pStyle w:val="a4"/>
        <w:spacing w:before="0" w:beforeAutospacing="0" w:after="0" w:afterAutospacing="0" w:line="320" w:lineRule="exact"/>
        <w:ind w:firstLineChars="200" w:firstLine="420"/>
        <w:jc w:val="both"/>
        <w:rPr>
          <w:rFonts w:ascii="仿宋_GB2312" w:eastAsia="仿宋_GB2312" w:hAnsi="??"/>
          <w:color w:val="000000"/>
          <w:sz w:val="21"/>
          <w:szCs w:val="21"/>
        </w:rPr>
      </w:pPr>
      <w:r w:rsidRPr="00154979">
        <w:rPr>
          <w:rFonts w:ascii="仿宋_GB2312" w:eastAsia="仿宋_GB2312" w:hAnsi="??"/>
          <w:color w:val="000000"/>
          <w:sz w:val="21"/>
          <w:szCs w:val="21"/>
        </w:rPr>
        <w:t>GPA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折算分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>=100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×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>GPA/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专业第一名</w:t>
      </w:r>
      <w:r w:rsidRPr="00154979">
        <w:rPr>
          <w:rFonts w:ascii="仿宋_GB2312" w:eastAsia="仿宋_GB2312" w:hAnsi="??"/>
          <w:color w:val="000000"/>
          <w:sz w:val="21"/>
          <w:szCs w:val="21"/>
        </w:rPr>
        <w:t>GPA</w:t>
      </w:r>
      <w:r w:rsidRPr="00154979">
        <w:rPr>
          <w:rFonts w:ascii="仿宋_GB2312" w:eastAsia="仿宋_GB2312" w:hAnsi="??" w:hint="eastAsia"/>
          <w:color w:val="000000"/>
          <w:sz w:val="21"/>
          <w:szCs w:val="21"/>
        </w:rPr>
        <w:t>。</w:t>
      </w:r>
    </w:p>
    <w:p w:rsidR="00306630" w:rsidRDefault="00306630"/>
    <w:sectPr w:rsidR="00306630" w:rsidSect="00FC5FD3">
      <w:footerReference w:type="even" r:id="rId5"/>
      <w:footerReference w:type="default" r:id="rId6"/>
      <w:pgSz w:w="11906" w:h="16838"/>
      <w:pgMar w:top="623" w:right="926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C4" w:rsidRDefault="00444878" w:rsidP="004544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34C4" w:rsidRDefault="0044487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C4" w:rsidRDefault="00444878" w:rsidP="004544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234C4" w:rsidRDefault="0044487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E"/>
    <w:rsid w:val="00306630"/>
    <w:rsid w:val="00444878"/>
    <w:rsid w:val="004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448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rsid w:val="00444878"/>
    <w:rPr>
      <w:rFonts w:ascii="Calibri" w:eastAsia="宋体" w:hAnsi="Calibri" w:cs="Times New Roman"/>
      <w:kern w:val="0"/>
      <w:sz w:val="18"/>
      <w:szCs w:val="20"/>
    </w:rPr>
  </w:style>
  <w:style w:type="paragraph" w:styleId="a4">
    <w:name w:val="Body Text Indent"/>
    <w:basedOn w:val="a"/>
    <w:link w:val="Char0"/>
    <w:uiPriority w:val="99"/>
    <w:rsid w:val="00444878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character" w:customStyle="1" w:styleId="Char0">
    <w:name w:val="正文文本缩进 Char"/>
    <w:basedOn w:val="a0"/>
    <w:link w:val="a4"/>
    <w:uiPriority w:val="99"/>
    <w:rsid w:val="00444878"/>
    <w:rPr>
      <w:rFonts w:ascii="Calibri" w:eastAsia="宋体" w:hAnsi="Calibri" w:cs="Times New Roman"/>
      <w:kern w:val="0"/>
      <w:sz w:val="20"/>
      <w:szCs w:val="20"/>
    </w:rPr>
  </w:style>
  <w:style w:type="character" w:styleId="a5">
    <w:name w:val="page number"/>
    <w:uiPriority w:val="99"/>
    <w:rsid w:val="004448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4487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semiHidden/>
    <w:rsid w:val="00444878"/>
    <w:rPr>
      <w:rFonts w:ascii="Calibri" w:eastAsia="宋体" w:hAnsi="Calibri" w:cs="Times New Roman"/>
      <w:kern w:val="0"/>
      <w:sz w:val="18"/>
      <w:szCs w:val="20"/>
    </w:rPr>
  </w:style>
  <w:style w:type="paragraph" w:styleId="a4">
    <w:name w:val="Body Text Indent"/>
    <w:basedOn w:val="a"/>
    <w:link w:val="Char0"/>
    <w:uiPriority w:val="99"/>
    <w:rsid w:val="00444878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character" w:customStyle="1" w:styleId="Char0">
    <w:name w:val="正文文本缩进 Char"/>
    <w:basedOn w:val="a0"/>
    <w:link w:val="a4"/>
    <w:uiPriority w:val="99"/>
    <w:rsid w:val="00444878"/>
    <w:rPr>
      <w:rFonts w:ascii="Calibri" w:eastAsia="宋体" w:hAnsi="Calibri" w:cs="Times New Roman"/>
      <w:kern w:val="0"/>
      <w:sz w:val="20"/>
      <w:szCs w:val="20"/>
    </w:rPr>
  </w:style>
  <w:style w:type="character" w:styleId="a5">
    <w:name w:val="page number"/>
    <w:uiPriority w:val="99"/>
    <w:rsid w:val="004448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食品院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王雪飞(2012037)</dc:creator>
  <cp:keywords/>
  <dc:description/>
  <cp:lastModifiedBy>王雪飞(2012037)</cp:lastModifiedBy>
  <cp:revision>2</cp:revision>
  <dcterms:created xsi:type="dcterms:W3CDTF">2014-09-11T01:26:00Z</dcterms:created>
  <dcterms:modified xsi:type="dcterms:W3CDTF">2014-09-11T01:26:00Z</dcterms:modified>
</cp:coreProperties>
</file>